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32F3" w14:textId="2EF8BFD8" w:rsidR="006A1BEB" w:rsidRPr="00EB7728" w:rsidRDefault="0061174A" w:rsidP="00A7208E">
      <w:pPr>
        <w:spacing w:after="0"/>
        <w:ind w:firstLine="709"/>
        <w:jc w:val="center"/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202</w:t>
      </w:r>
      <w:r w:rsidR="003D4317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5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-20</w:t>
      </w:r>
      <w:r w:rsidR="003D4317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30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-жылдарга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карата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электр энергиясына орто мөөнөттүү тарифтик саясат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ынын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долбоорун</w:t>
      </w:r>
      <w:r w:rsidR="005D54F9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иштеп</w:t>
      </w:r>
      <w:r w:rsidR="005D54F9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чыгуу жана 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ачык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кенешүүлөрдүн </w:t>
      </w:r>
      <w:r w:rsidR="005D54F9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башталышы жөнүндө</w:t>
      </w:r>
    </w:p>
    <w:p w14:paraId="53D696FD" w14:textId="6D9CBE01" w:rsidR="00C6182D" w:rsidRPr="00EB7728" w:rsidRDefault="003D4317" w:rsidP="00A7208E">
      <w:pPr>
        <w:spacing w:after="0"/>
        <w:ind w:firstLine="709"/>
        <w:jc w:val="center"/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КАБАРЛАНДЫРУУ</w:t>
      </w:r>
    </w:p>
    <w:p w14:paraId="5240FA49" w14:textId="77777777" w:rsidR="003D4317" w:rsidRPr="00EB7728" w:rsidRDefault="003D4317" w:rsidP="00A7208E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14:paraId="560A8D58" w14:textId="0E1A38BB" w:rsidR="00FB4086" w:rsidRPr="00EB7728" w:rsidRDefault="00FB4086" w:rsidP="00A7208E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Энергетика министрлиги 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-20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30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-жылдарга карата жана электр энергиясына орто мөөнөттүү тарифтик саясат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ынын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07D45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(мындан ары – ОМТС) 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долбоорун иштеп чыгуу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уну демилгелөөнүн, кызыктар жактардын сунуштарын укуктук жөнгө салууну жана жыйноону асык-айкын талкылоону башталышы жөнүндө кабарлайт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lang w:val="ky-KG"/>
        </w:rPr>
        <w:t>.</w:t>
      </w:r>
    </w:p>
    <w:p w14:paraId="74C836B1" w14:textId="77777777" w:rsidR="00A7208E" w:rsidRPr="00EB7728" w:rsidRDefault="00A7208E" w:rsidP="00A7208E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lang w:val="ky-KG"/>
        </w:rPr>
      </w:pPr>
    </w:p>
    <w:p w14:paraId="572C2362" w14:textId="639ED4FB" w:rsidR="00FB4086" w:rsidRPr="00EB7728" w:rsidRDefault="00FB4086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1.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Сунушталган жөнгө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салуу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ну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чечүүгө багытталган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көйгөйлордүн сыпатталышы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(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тиешелүү сандык жана сапаттык көрсөткүчтөрдү колдонуу менен </w:t>
      </w:r>
      <w:r w:rsidR="0044383A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сыпаттоо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)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:</w:t>
      </w:r>
    </w:p>
    <w:p w14:paraId="7F8471AD" w14:textId="508DBE12" w:rsidR="00FB4086" w:rsidRPr="00EB7728" w:rsidRDefault="00FB4086" w:rsidP="002037CB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Көп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жылдар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 акыркы керектөөчүлөр</w:t>
      </w:r>
      <w:r w:rsidR="00DF429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дүн белгилүү топтору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үчүн электр энергиясына тарифтер</w:t>
      </w:r>
      <w:r w:rsidR="00DF429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(калк</w:t>
      </w:r>
      <w:r w:rsidR="000824F0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824F0" w:rsidRPr="00EB7728">
        <w:rPr>
          <w:rStyle w:val="ezkurwreuab5ozgtqnkl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y-KG"/>
        </w:rPr>
        <w:t>(анын ичинде:</w:t>
      </w:r>
      <w:r w:rsidR="000824F0" w:rsidRPr="00EB7728">
        <w:rPr>
          <w:i/>
          <w:iCs/>
          <w:color w:val="000000" w:themeColor="text1"/>
          <w:lang w:val="ky-KG"/>
        </w:rPr>
        <w:t xml:space="preserve"> </w:t>
      </w:r>
      <w:r w:rsidR="000824F0" w:rsidRPr="00EB7728">
        <w:rPr>
          <w:rStyle w:val="ezkurwreuab5ozgtqnkl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y-KG"/>
        </w:rPr>
        <w:t>бийик тоолуу райондордо жашагандар, аз камсыз болгон үй-бүлөлөр, Токтогул районунда жашаган калк)</w:t>
      </w:r>
      <w:r w:rsidR="00DF429A" w:rsidRPr="00EB7728">
        <w:rPr>
          <w:rStyle w:val="ezkurwreuab5ozgtqnkl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y-KG"/>
        </w:rPr>
        <w:t xml:space="preserve">, </w:t>
      </w:r>
      <w:r w:rsidR="00DF429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насостук станциялар, электр транспорту, балдар мекемелери, майыптар жана улгайган жарандар үчүн мекемелер, диний уюмдар)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өздүк нарктан төмөн белгиленип келет, бул жыл сайын акча каражаттарынын тартыштыгына алып ке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лүүдө</w:t>
      </w:r>
      <w:r w:rsidR="00DF429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2023-жылдын жыйынтыгы боюнча энергия </w:t>
      </w:r>
      <w:r w:rsidR="0044383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тутумунд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агы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акча каражаттарынын тартыштыгы 6,6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млрд.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сомду түзгөн,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 эми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2024-жылы күтүлгөн көрсөткүчтөргө ылайык тартыштык 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8,1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млрд. сомду түзөт.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Көрүнүп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тургандай, 2024-жылы энерг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ия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тутуму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боюнча акча каражаттарынын күтүлүп жаткан тартыштыгы 2023-жылга салыштырмалуу 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1,5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млрд.сомго же 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22,7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% га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көптүк кылат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3A3A26E6" w14:textId="407EDF7A" w:rsidR="00FB4086" w:rsidRPr="00EB7728" w:rsidRDefault="00FB4086" w:rsidP="002037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Мындан тышкары, </w:t>
      </w:r>
      <w:r w:rsidR="003D4317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2025-жылдын январына карата өлкөнүн энергетика секторунун карыз милдеттенмесинин суммасы 118,2 млрд. сомду түзөт,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бул тарифтик тартыштыкта тармак үчүн оор жүк болуп саналат.</w:t>
      </w:r>
    </w:p>
    <w:p w14:paraId="1ED5589E" w14:textId="77777777" w:rsidR="00A7208E" w:rsidRPr="00EB7728" w:rsidRDefault="00A7208E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70C162D1" w14:textId="10561F1D" w:rsidR="002A4E88" w:rsidRPr="00EB7728" w:rsidRDefault="002A4E88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2. Сунушталган жөнгө салуунун максатын (тиешелүү сандык жана сапаттык көрсөткүчтөрдү пайдалануу менен </w:t>
      </w:r>
      <w:r w:rsidR="00581188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сыпаттоо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) жана көйгөйлөрдү чечүү ыкмасын (жөнгө салуунун негизги ченемдерин)</w:t>
      </w:r>
      <w:r w:rsidR="00581188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сыпаттоо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:</w:t>
      </w:r>
    </w:p>
    <w:p w14:paraId="4498B092" w14:textId="4B609BD9" w:rsidR="002A4E88" w:rsidRPr="00EB7728" w:rsidRDefault="002A4E88" w:rsidP="002037CB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Президентинин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2018-жылдын </w:t>
      </w:r>
      <w:r w:rsidR="009875C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br/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31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октябрындагы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№</w:t>
      </w:r>
      <w:r w:rsidR="009875C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221 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арлыгы менен бекитилген Кыргыз Республикасын 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2018-2040-жылдарда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өнүктүрүүнүн улуттук стратегиясына ылайык, энергетика секторун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оңдоо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андан кийинки туруктуу ишт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өөс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экономикалык жактан негизделген тарифтерге өтүүнү талап кылат,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бул – керектөөчүлөргө чей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электр энергиясын, жылуулукту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жеткирүү жана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генерациялоо боюнча негизги чыгымдарды камтууга тийиш.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2040-жылга чейинки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келечекте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тарифтик саясаттын, анын ичинде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мезгилдик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аймактык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саясаттын ийкемдүүлүгү камсыздалат.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Инвестициялык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жагымдуу тарифтер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1174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альтернативдүү </w:t>
      </w:r>
      <w:r w:rsidR="005811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электр энергиясын 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жылуулук берүүчүлөрдү</w:t>
      </w:r>
      <w:r w:rsidR="00D961DC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 пайда болу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</w:t>
      </w:r>
      <w:r w:rsidR="00D961DC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суна шарт түзөт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Ушуга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байланыштуу энергетикадагы стратегиялык объекттерди курууга жана башкарууга жеке инвесторлорду тартуу</w:t>
      </w:r>
      <w:r w:rsidR="00D961DC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эске алынуу менен 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мамлекеттик-жеке өнөктөштүк (</w:t>
      </w:r>
      <w:r w:rsidR="00D961DC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МЖӨ</w:t>
      </w:r>
      <w:r w:rsidR="0061174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)</w:t>
      </w:r>
      <w:r w:rsidR="00D961DC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механизмдери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кеңири колдонулат.</w:t>
      </w:r>
    </w:p>
    <w:p w14:paraId="5665750B" w14:textId="6FAA33F6" w:rsidR="003D4317" w:rsidRPr="00EB7728" w:rsidRDefault="003D4317" w:rsidP="002037CB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Сунушталган өзгөртүүлөр келечекте 2030-жылга карата электр энергиясын керектөөнүн жыл сайын</w:t>
      </w:r>
      <w:r w:rsidR="00DF429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табигый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өсүшүн, ошондой эле электр энергиясын генерациялоонун жана альтернативдик булактардан, анын ичинде ЭКБ</w:t>
      </w:r>
      <w:r w:rsidR="009875C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дан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тийиштүү түрдө өсүшүн эске алуу менен республиканын энергия секторундагы акча каражаттарынын тартыштыгын жоюуга мүмкүндүк берет.</w:t>
      </w:r>
    </w:p>
    <w:p w14:paraId="3DA674F8" w14:textId="77777777" w:rsidR="00A7208E" w:rsidRPr="00EB7728" w:rsidRDefault="00A7208E" w:rsidP="00A7208E">
      <w:pPr>
        <w:spacing w:after="0"/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4BA98F0C" w14:textId="0971F7C2" w:rsidR="002A4E88" w:rsidRPr="00EB7728" w:rsidRDefault="002A4E88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3.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Сунушталган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жөнгө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салуунун күтүлүүчү </w:t>
      </w:r>
      <w:r w:rsidR="00D961DC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пайдаларын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жана артыкчылыктарын баалоо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(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тиешелүү сандык жана сапаттык көрсөткүчтөрдү колдонуу менен </w:t>
      </w:r>
      <w:r w:rsidR="00D961DC"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сыпаттоо</w:t>
      </w:r>
      <w:r w:rsidRPr="00EB7728">
        <w:rPr>
          <w:rStyle w:val="ezkurwreuab5ozgtqnkl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)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:</w:t>
      </w:r>
    </w:p>
    <w:p w14:paraId="08BDB063" w14:textId="5E42A7EA" w:rsidR="002A4E88" w:rsidRPr="00EB7728" w:rsidRDefault="0061174A" w:rsidP="002037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-20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30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-жылдарга электр энергиясы</w:t>
      </w:r>
      <w:r w:rsidR="006A1BEB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боюнча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колдонуудагы </w:t>
      </w:r>
      <w:r w:rsidR="003D4317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жаңы 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ОМТСке</w:t>
      </w:r>
      <w:r w:rsidR="002A4E88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D4317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иштеп чыгуу </w:t>
      </w:r>
      <w:r w:rsidR="00F76CA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төмөндөгүлөрдүн болушуна шарт түзөт:</w:t>
      </w:r>
    </w:p>
    <w:p w14:paraId="22976C06" w14:textId="03A13141" w:rsidR="002A4E88" w:rsidRPr="00EB7728" w:rsidRDefault="002A4E88" w:rsidP="00A7208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Энерг</w:t>
      </w:r>
      <w:r w:rsidR="00F76CAA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етикалык тутум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боюнча кирешелердин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өсүшүнө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134"/>
      </w:tblGrid>
      <w:tr w:rsidR="00EB7728" w:rsidRPr="00EB7728" w14:paraId="143C2213" w14:textId="77777777" w:rsidTr="003E03DF">
        <w:tc>
          <w:tcPr>
            <w:tcW w:w="1413" w:type="dxa"/>
            <w:vMerge w:val="restart"/>
            <w:shd w:val="clear" w:color="auto" w:fill="D9E2F3" w:themeFill="accent1" w:themeFillTint="33"/>
            <w:vAlign w:val="center"/>
          </w:tcPr>
          <w:p w14:paraId="33FE70CE" w14:textId="15BCEE08" w:rsidR="00907D45" w:rsidRPr="00EB7728" w:rsidRDefault="00907D45" w:rsidP="002037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Киреше</w:t>
            </w:r>
          </w:p>
          <w:p w14:paraId="433A6035" w14:textId="77777777" w:rsidR="00907D45" w:rsidRPr="00EB7728" w:rsidRDefault="00907D45" w:rsidP="002037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(млрд. сом)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3189B522" w14:textId="050F7E78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2024-ж. (</w:t>
            </w:r>
            <w:r w:rsidR="009875CA"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күт</w:t>
            </w: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.)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0AF6B811" w14:textId="63D8F95F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2025-ж.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36000811" w14:textId="26053436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2026-ж.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3A424E3E" w14:textId="270ECBA5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2027-ж.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1CC060BD" w14:textId="30DBBBFA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2028-ж.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1B4BFFB0" w14:textId="67D77CFF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2029-ж.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4D9CD249" w14:textId="47489D44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2030-ж.</w:t>
            </w:r>
          </w:p>
        </w:tc>
      </w:tr>
      <w:tr w:rsidR="00EB7728" w:rsidRPr="00EB7728" w14:paraId="7E9E1098" w14:textId="77777777" w:rsidTr="002037CB">
        <w:tc>
          <w:tcPr>
            <w:tcW w:w="1413" w:type="dxa"/>
            <w:vMerge/>
            <w:shd w:val="clear" w:color="auto" w:fill="D9E2F3" w:themeFill="accent1" w:themeFillTint="33"/>
          </w:tcPr>
          <w:p w14:paraId="61F3E76D" w14:textId="77777777" w:rsidR="00907D45" w:rsidRPr="00EB7728" w:rsidRDefault="00907D45" w:rsidP="002037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5022719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31,9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EA2D681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39,8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80BE655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45,5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B90320F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54,5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5DD217F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62,1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F5AD9E2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71,1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B657748" w14:textId="77777777" w:rsidR="00907D45" w:rsidRPr="00EB7728" w:rsidRDefault="00907D45" w:rsidP="002037C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7728">
              <w:rPr>
                <w:rFonts w:ascii="Times New Roman" w:hAnsi="Times New Roman" w:cs="Times New Roman"/>
                <w:color w:val="000000" w:themeColor="text1"/>
                <w:lang w:val="ky-KG"/>
              </w:rPr>
              <w:t>81,5</w:t>
            </w:r>
          </w:p>
        </w:tc>
      </w:tr>
    </w:tbl>
    <w:p w14:paraId="3C9C27EE" w14:textId="527F511F" w:rsidR="002A4E88" w:rsidRPr="00EB7728" w:rsidRDefault="00907D45" w:rsidP="002037CB">
      <w:pPr>
        <w:ind w:firstLine="709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2030-жылы күтүлгөн 2024-жылга салыштырмалуу энергетика системасы боюнча кирешенин өсүшү 49,6 млрд.сомду же 155,2%ды түзөт</w:t>
      </w:r>
      <w:r w:rsidR="002A4E88" w:rsidRPr="00EB7728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39B5CC5F" w14:textId="5CB085BB" w:rsidR="0080489A" w:rsidRPr="00EB7728" w:rsidRDefault="0080489A" w:rsidP="003E03D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2. Энергетика секторунун кредиттери боюнча милдеттенмелерди аткарууга</w:t>
      </w:r>
      <w:r w:rsidR="0061174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алып келет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</w:p>
    <w:p w14:paraId="62B05F3A" w14:textId="3E893B2A" w:rsidR="00A7208E" w:rsidRPr="00EB7728" w:rsidRDefault="0080489A" w:rsidP="003E03D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3.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Энерг</w:t>
      </w:r>
      <w:r w:rsidR="0061174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етикалык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компаниялардын тартыштыгын жабууга республикалык бюджеттен </w:t>
      </w:r>
      <w:r w:rsidR="00DF42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кредиттик каражаттарды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бөлүү зарылдыгын токтотууга</w:t>
      </w:r>
      <w:r w:rsidR="0061174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алып келет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B8FF599" w14:textId="0B4444BC" w:rsidR="0080489A" w:rsidRPr="00EB7728" w:rsidRDefault="0080489A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4. Мүмкүн болуучу жагымсыз кесепеттерге баа берүү (тиешелүү сандык жана сапаттык көрсөткүчтөрдү колдонуу менен с</w:t>
      </w:r>
      <w:r w:rsidR="00D961DC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ыпаттоо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):</w:t>
      </w:r>
    </w:p>
    <w:p w14:paraId="3CFBFD31" w14:textId="78226174" w:rsidR="00A7208E" w:rsidRPr="00EB7728" w:rsidRDefault="0061174A" w:rsidP="002037C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</w:t>
      </w:r>
      <w:r w:rsidR="008048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лектр энергиясына тарифтердин өзгөрүшү керектелген электр энергияс</w:t>
      </w:r>
      <w:r w:rsidR="006B56E3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8048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төлөө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 керектөөчүлөрдүн</w:t>
      </w:r>
      <w:r w:rsidR="008048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чыгымдарынын көбөйүшүнө алып келет</w:t>
      </w:r>
      <w:r w:rsidR="00F60D3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DB65F73" w14:textId="7F4BF8AC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5. Сунушталган жөнгө салуунун </w:t>
      </w:r>
      <w:r w:rsidR="006B56E3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даректе</w:t>
      </w:r>
      <w:r w:rsidR="0061174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</w:t>
      </w:r>
      <w:r w:rsidR="006B56E3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үүчүлөр</w:t>
      </w:r>
      <w:r w:rsidR="0061174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үнүн</w:t>
      </w:r>
      <w:r w:rsidR="006B56E3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-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ишкердик субъекттеринин санына мүнөздөмө жана баа берүү (тиешелүү сандык жана сапаттык көрсөткүчтөрдү пайдалануу менен с</w:t>
      </w:r>
      <w:r w:rsidR="006B56E3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ыпаттоо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):</w:t>
      </w:r>
    </w:p>
    <w:p w14:paraId="34C98E7B" w14:textId="2ACC1E5E" w:rsidR="0080489A" w:rsidRPr="00EB7728" w:rsidRDefault="009875C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2025-жылдын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1–январ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ына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карата республика боюнч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br/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112 251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"КУЭТ" ААКнын 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тиричилик эмес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абоненттери эсептелген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1BC08127" w14:textId="3B8D65E4" w:rsidR="00A7208E" w:rsidRPr="00EB7728" w:rsidRDefault="00907D45" w:rsidP="003E03D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2024-жылы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тиричилик эмес керектөөчүлөр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дүн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керектөөсү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6,6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млрд. кВтс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түзөт.</w:t>
      </w:r>
    </w:p>
    <w:p w14:paraId="449A928D" w14:textId="5046B621" w:rsidR="0080489A" w:rsidRPr="00EB7728" w:rsidRDefault="0080489A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6. Сунушталган жөнгө салуунун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даре</w:t>
      </w:r>
      <w:r w:rsidR="004110E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м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еттүү (потенциалдуу)</w:t>
      </w:r>
      <w:r w:rsidR="00907D45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даректе</w:t>
      </w:r>
      <w:r w:rsidR="004110E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үү</w:t>
      </w:r>
      <w:r w:rsidR="004110E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чү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лөрүнүн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CE7B52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жаңы ОМТСти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киргизүүгө</w:t>
      </w:r>
      <w:r w:rsidR="004110E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байланышкан</w:t>
      </w:r>
      <w:r w:rsidR="00CE7B52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кошумча чыгымдырын жана</w:t>
      </w:r>
      <w:r w:rsidR="00940937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пайдаларын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болжолдуу баалоо:</w:t>
      </w:r>
    </w:p>
    <w:p w14:paraId="7DB20A65" w14:textId="6F5A9B27" w:rsidR="0080489A" w:rsidRPr="00EB7728" w:rsidRDefault="00907D45" w:rsidP="002037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2024-жылы энерг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етикалык тутумдун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кирешеси 31,9 млрд. сомду түзөт.</w:t>
      </w:r>
    </w:p>
    <w:p w14:paraId="17EB2E3C" w14:textId="180DF212" w:rsidR="0080489A" w:rsidRPr="00EB7728" w:rsidRDefault="00907D45" w:rsidP="002037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Жаңы тарифтерди киргизүүдө 2025-жылы энергетика 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тутумунун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кошумча жылдык кирешеси 2024-жылга салыштырмалуу </w:t>
      </w:r>
      <w:r w:rsidR="003E03DF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тиричилик эмес абоненттерден 5,5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млрд.сомду түзөт.</w:t>
      </w:r>
    </w:p>
    <w:p w14:paraId="3964A16B" w14:textId="4FED718F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Жаңы ОМТСти киргизүү менен байланышкан керектөөчүлөр үчүн артыкчылыктар:</w:t>
      </w:r>
    </w:p>
    <w:p w14:paraId="70B3EADD" w14:textId="4F4381C0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керектелген электр энергиясынын сапаты жогорула</w:t>
      </w:r>
      <w:r w:rsidR="00940937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йт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1A5C49F4" w14:textId="60488218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авариялык өчүрүүлөрдүн саны аза</w:t>
      </w:r>
      <w:r w:rsidR="00940937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ят</w:t>
      </w:r>
      <w:r w:rsidR="00DF42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0328B682" w14:textId="1658460C" w:rsidR="00DF429A" w:rsidRPr="00EB7728" w:rsidRDefault="00DF42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электр энергиясын иштеп чыгуунун өсүшү;</w:t>
      </w:r>
    </w:p>
    <w:p w14:paraId="0B0DD0F7" w14:textId="101FD42A" w:rsidR="00DF429A" w:rsidRPr="00EB7728" w:rsidRDefault="00DF42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жыл сайын пайда болгон электр энергиясын генерациялоонун тартыштыгынан улам керектөөчүлөргө белгиленген кубаттуулук лимитин алып салуу мүмкүнчүлүгү</w:t>
      </w:r>
      <w:r w:rsidR="00F60D3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5E755F1B" w14:textId="77777777" w:rsidR="00A7208E" w:rsidRPr="00EB7728" w:rsidRDefault="00A7208E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271C6F56" w14:textId="701A8F21" w:rsidR="0080489A" w:rsidRPr="00EB7728" w:rsidRDefault="0080489A" w:rsidP="002037CB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7. Сунушталган жөнгө салууну киргизүү менен байланышкан Кыргыз Республикасынын бюджетинин чыгымдарын жана пайда</w:t>
      </w:r>
      <w:r w:rsidR="00CE7B52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ларын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 болжолдуу баалоо:</w:t>
      </w:r>
    </w:p>
    <w:p w14:paraId="5394EDBC" w14:textId="0EAC8E44" w:rsidR="0080489A" w:rsidRPr="00EB7728" w:rsidRDefault="00907D45" w:rsidP="002037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2025-жылдын 1-январына карата "КУЭТ" ААК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 3 785 бюджеттик абонент бар. 2024-жылы аталган абоненттердин электр энергиясын керектөөсү 1,0 млрд.кВт саатты түзгөн. 2025-жылы жаңы тарифтерди колдонуудан кошумча киреше 0,612 млрд. сомду түзөт, демек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бюджеттик уюмдар керектеген электр энергиясына төлөөгө республикалык бюджеттен кошумча чыгымдар 0,612 млрд. сомду түзөт</w:t>
      </w:r>
      <w:r w:rsidR="008048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754D4913" w14:textId="2D60A737" w:rsidR="0080489A" w:rsidRPr="00EB7728" w:rsidRDefault="00CE7B52" w:rsidP="002037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Ошшону менен бирге,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акыркы керектөөчүлөр үчүн электр энергиясына жаңы тарифтерди киргизүүдө мамлекет үчүн пайда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лар</w:t>
      </w:r>
      <w:r w:rsidR="0080489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p w14:paraId="52720862" w14:textId="2806A7F8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электр энергиясына тарифти жогорулатуунун эсебинен салыктык түшүүлөр көбөй</w:t>
      </w:r>
      <w:r w:rsidR="00940937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т;</w:t>
      </w:r>
    </w:p>
    <w:p w14:paraId="31A693C9" w14:textId="4BA56FCB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907D45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электр энергиясын керектөөнүн минималдуу ченемин сактоо, керектөөчүлөрдү электр менен камсыздоонун сапатын жакшыртуу жолу менен энергетикалык коопсуздукту камсыз кылуу</w:t>
      </w: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14:paraId="13A87BA3" w14:textId="60A6D30E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- </w:t>
      </w:r>
      <w:r w:rsidR="009875C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орто мөөнөттүү келечекте энерг</w:t>
      </w:r>
      <w:r w:rsidR="00CE7B52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етикалык</w:t>
      </w:r>
      <w:r w:rsidR="009875C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компаниялар</w:t>
      </w:r>
      <w:r w:rsidR="00DF0CB8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="009875C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F0CB8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бюджеттик кредиттерди берүүнүн зарылдыгын </w:t>
      </w:r>
      <w:r w:rsidR="002749BD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тартыштыкты жабуу үчүн </w:t>
      </w:r>
      <w:r w:rsidR="00DF0CB8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кыскартуу жана жоюу</w:t>
      </w:r>
      <w:r w:rsidR="00F60D3A"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бул акча каражаттарын башка социалдык-маанилүү долбоорлорго багыттоо мүмкүнчүлүгүнө өбөлгө болот;</w:t>
      </w:r>
    </w:p>
    <w:p w14:paraId="09632E90" w14:textId="0D036635" w:rsidR="009875CA" w:rsidRPr="00EB7728" w:rsidRDefault="009875C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- орто мөөнөттүү келечекте жаңы тарифтик саясатты кабыл алуудан жана ишке ашыруудан алынган кошумча кирешелердин эсебинен акча каражаттарынын тартыштыгын кыскартуу жана жоюу.</w:t>
      </w:r>
    </w:p>
    <w:p w14:paraId="26B96126" w14:textId="77777777" w:rsidR="00A7208E" w:rsidRPr="00EB7728" w:rsidRDefault="00A7208E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32079625" w14:textId="38A1568E" w:rsidR="00366C82" w:rsidRPr="00EB7728" w:rsidRDefault="00F76CAA" w:rsidP="00A7208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Кабарландыруу маалыматтарын талк</w:t>
      </w:r>
      <w:r w:rsidR="004110EA"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уу</w:t>
      </w:r>
      <w:r w:rsidRPr="00EB77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лоо үчүн байланыштар жана мөөнөттөр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EB7728" w:rsidRPr="00EB7728" w14:paraId="13870F42" w14:textId="77777777" w:rsidTr="00167BC6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94D1" w14:textId="47DE6752" w:rsidR="00366C82" w:rsidRPr="00EB7728" w:rsidRDefault="00366C82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1. Сунуштар кабыл алынат: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E92C" w14:textId="77777777" w:rsidR="00366C82" w:rsidRPr="00EB7728" w:rsidRDefault="00366C82" w:rsidP="00A720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 </w:t>
            </w:r>
          </w:p>
        </w:tc>
      </w:tr>
      <w:tr w:rsidR="00EB7728" w:rsidRPr="00EB7728" w14:paraId="2872E13E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1B63" w14:textId="42FA2D04" w:rsidR="00366C82" w:rsidRPr="00EB7728" w:rsidRDefault="009875CA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    </w:t>
            </w:r>
            <w:r w:rsidR="00366C82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электрондук почта аркылуу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7897" w14:textId="77777777" w:rsidR="00366C82" w:rsidRPr="00EB7728" w:rsidRDefault="00366C82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monitoring.tek@mail.ru</w:t>
            </w:r>
          </w:p>
        </w:tc>
      </w:tr>
      <w:tr w:rsidR="00EB7728" w:rsidRPr="00EB7728" w14:paraId="46FEE340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DDB1" w14:textId="2DACEEF0" w:rsidR="00366C82" w:rsidRPr="00EB7728" w:rsidRDefault="009875CA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    </w:t>
            </w:r>
            <w:r w:rsidR="00366C82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 почта дарегине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A4CC" w14:textId="26BC03E7" w:rsidR="00366C82" w:rsidRPr="00EB7728" w:rsidRDefault="00366C82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720055, Бишкек ш,  </w:t>
            </w:r>
            <w:r w:rsidRPr="00EB7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И. Ахунбаев көч. 119</w:t>
            </w:r>
          </w:p>
        </w:tc>
      </w:tr>
      <w:tr w:rsidR="00EB7728" w:rsidRPr="00EB7728" w14:paraId="5B3B15AF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F07B" w14:textId="6A961CA3" w:rsidR="00366C82" w:rsidRPr="00EB7728" w:rsidRDefault="00366C82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2. Сунуштарды кабыл алуу мөөнөтү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ушул мөөн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ө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ттөн кечиктир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ил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бе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ш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керек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7D8C" w14:textId="75C0B816" w:rsidR="00366C82" w:rsidRPr="00EB7728" w:rsidRDefault="009875CA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2025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="00366C82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жылдын </w:t>
            </w: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21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-</w:t>
            </w: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февралы</w:t>
            </w:r>
            <w:r w:rsidR="00366C82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(17:59)</w:t>
            </w:r>
          </w:p>
        </w:tc>
      </w:tr>
      <w:tr w:rsidR="00366C82" w:rsidRPr="00EB7728" w14:paraId="43E2FBD2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D2C3" w14:textId="679FC90F" w:rsidR="00366C82" w:rsidRPr="00EB7728" w:rsidRDefault="00366C82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3. Иштеп чыгуучу органдын расмий сайтына сунуштардын жана жооптордун реестрин жайгаштыруунун мөөнөтү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ушул мөөн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ө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ттөн кечиктир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ил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бе</w:t>
            </w:r>
            <w:r w:rsidR="004110E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ш</w:t>
            </w:r>
            <w:r w:rsidR="00F76CAA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 керек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43CE" w14:textId="1A22147C" w:rsidR="00366C82" w:rsidRPr="00EB7728" w:rsidRDefault="009875CA" w:rsidP="00A7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</w:pPr>
            <w:r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 xml:space="preserve">2025-жылдын 24-февралы </w:t>
            </w:r>
            <w:r w:rsidR="00366C82" w:rsidRPr="00EB7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 w:eastAsia="ru-RU"/>
              </w:rPr>
              <w:t>(17:59)</w:t>
            </w:r>
          </w:p>
        </w:tc>
      </w:tr>
    </w:tbl>
    <w:p w14:paraId="07FA3CC0" w14:textId="77777777" w:rsidR="0080489A" w:rsidRPr="00EB7728" w:rsidRDefault="0080489A" w:rsidP="00A720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sectPr w:rsidR="0080489A" w:rsidRPr="00EB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21BA7"/>
    <w:multiLevelType w:val="hybridMultilevel"/>
    <w:tmpl w:val="FEB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0DE6"/>
    <w:multiLevelType w:val="hybridMultilevel"/>
    <w:tmpl w:val="1DEE7E02"/>
    <w:lvl w:ilvl="0" w:tplc="A314E8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130972164">
    <w:abstractNumId w:val="0"/>
  </w:num>
  <w:num w:numId="2" w16cid:durableId="188791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04"/>
    <w:rsid w:val="000824F0"/>
    <w:rsid w:val="000E246B"/>
    <w:rsid w:val="002037CB"/>
    <w:rsid w:val="002749BD"/>
    <w:rsid w:val="002A4E88"/>
    <w:rsid w:val="002B7645"/>
    <w:rsid w:val="00302F65"/>
    <w:rsid w:val="00366C82"/>
    <w:rsid w:val="003D4317"/>
    <w:rsid w:val="003E03DF"/>
    <w:rsid w:val="004110EA"/>
    <w:rsid w:val="0044383A"/>
    <w:rsid w:val="00457131"/>
    <w:rsid w:val="00463A20"/>
    <w:rsid w:val="00581188"/>
    <w:rsid w:val="00596A74"/>
    <w:rsid w:val="005D54F9"/>
    <w:rsid w:val="0061174A"/>
    <w:rsid w:val="006A1BEB"/>
    <w:rsid w:val="006A3104"/>
    <w:rsid w:val="006B56E3"/>
    <w:rsid w:val="0080489A"/>
    <w:rsid w:val="00907D45"/>
    <w:rsid w:val="00940937"/>
    <w:rsid w:val="009875CA"/>
    <w:rsid w:val="00A7208E"/>
    <w:rsid w:val="00A91711"/>
    <w:rsid w:val="00AA3207"/>
    <w:rsid w:val="00BB276E"/>
    <w:rsid w:val="00C6182D"/>
    <w:rsid w:val="00CE7B52"/>
    <w:rsid w:val="00D51AD0"/>
    <w:rsid w:val="00D961DC"/>
    <w:rsid w:val="00DF0CB8"/>
    <w:rsid w:val="00DF429A"/>
    <w:rsid w:val="00E62023"/>
    <w:rsid w:val="00EB7728"/>
    <w:rsid w:val="00F60D3A"/>
    <w:rsid w:val="00F76CAA"/>
    <w:rsid w:val="00F93DF9"/>
    <w:rsid w:val="00FB408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883F"/>
  <w15:chartTrackingRefBased/>
  <w15:docId w15:val="{5C78B296-C2A4-40FD-B834-CE3450C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F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D54F9"/>
  </w:style>
  <w:style w:type="paragraph" w:styleId="a3">
    <w:name w:val="List Paragraph"/>
    <w:basedOn w:val="a"/>
    <w:uiPriority w:val="34"/>
    <w:qFormat/>
    <w:rsid w:val="00FB4086"/>
    <w:pPr>
      <w:ind w:left="720"/>
      <w:contextualSpacing/>
    </w:pPr>
  </w:style>
  <w:style w:type="table" w:styleId="a4">
    <w:name w:val="Table Grid"/>
    <w:basedOn w:val="a1"/>
    <w:uiPriority w:val="59"/>
    <w:rsid w:val="002A4E88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Равшан Ихаза</cp:lastModifiedBy>
  <cp:revision>24</cp:revision>
  <cp:lastPrinted>2025-02-04T10:36:00Z</cp:lastPrinted>
  <dcterms:created xsi:type="dcterms:W3CDTF">2024-07-24T03:01:00Z</dcterms:created>
  <dcterms:modified xsi:type="dcterms:W3CDTF">2025-02-05T13:47:00Z</dcterms:modified>
</cp:coreProperties>
</file>